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210.01: Annual Meeting</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Each year after August 31 and prior to the organizational meeting of the Tri-County board in odd-numbered years, the board will hold its annual meeting.</w:t>
        <w:br w:type="textWrapping"/>
        <w:br w:type="textWrapping"/>
        <w:t xml:space="preserve">At the annual meeting, the board will examine the financial books and settle the secretary's and treasurer's statements for the fiscal year ending the preceding June 30.  As part of the annual reports, the treasurer will present affidavits from depository banks.  The board may also appoint the board's legal counsel at the annual meeting.</w:t>
        <w:br w:type="textWrapping"/>
        <w:br w:type="textWrapping"/>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279.1, .3, .33.</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Powers and Duties - Organization-Student Improvement Oversight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279.3</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Appointment - Secretary-Treasurer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279.33</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Powers and Duties - Annual Settlements</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206.03</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Secretary (I, II)</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206.04</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Treasurer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701.01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Depository of Funds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707.01</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Secretary's Reports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707.02</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Treasurer's Annual Report</w:t>
              </w:r>
            </w:hyperlink>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5slshrwhBOF1o0W1CNdZlAVzg==" TargetMode="External"/><Relationship Id="rId10" Type="http://schemas.openxmlformats.org/officeDocument/2006/relationships/hyperlink" Target="https://simbli.eboardsolutions.com/Policy/ViewPolicy.aspx?S=36031104&amp;revid=x0oFslshREE4pUYB1zGHkI4kA==" TargetMode="External"/><Relationship Id="rId13" Type="http://schemas.openxmlformats.org/officeDocument/2006/relationships/hyperlink" Target="https://simbli.eboardsolutions.com/Policy/ViewPolicy.aspx?S=36031104&amp;revid=f6IslshPhZm6RZCPfqh0N68UA==" TargetMode="External"/><Relationship Id="rId12" Type="http://schemas.openxmlformats.org/officeDocument/2006/relationships/hyperlink" Target="https://simbli.eboardsolutions.com/Policy/ViewPolicy.aspx?S=36031104&amp;revid=mzvXp1DB9ehxxTkFlg67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33.pdf" TargetMode="External"/><Relationship Id="rId14" Type="http://schemas.openxmlformats.org/officeDocument/2006/relationships/hyperlink" Target="https://simbli.eboardsolutions.com/Policy/ViewPolicy.aspx?S=36031104&amp;revid=7uXWGtOH3DqJUWuu7jo8U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1.pdf" TargetMode="External"/><Relationship Id="rId8" Type="http://schemas.openxmlformats.org/officeDocument/2006/relationships/hyperlink" Target="https://www.legis.iowa.gov/docs/code/279.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d4K6weJihW3AryivWK2+A8wWEg==">CgMxLjAyCGguZ2pkZ3hzOAByITF3U0NSNU5TY0NTWDExY0N5T0RtRmlNVVpfTm1XM1J2Vw==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2024-02-14T20:01:00Z</dcterms:created>
  <dc:creator>Linda Heisdorffer</dc:creator>
</cp:coreProperties>
</file>